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26.png" ContentType="image/png"/>
  <Override PartName="/word/media/rId29.png" ContentType="image/png"/>
  <Override PartName="/word/media/rId32.png" ContentType="image/png"/>
  <Override PartName="/word/media/rId46.png" ContentType="image/png"/>
  <Override PartName="/word/media/rId40.png" ContentType="image/png"/>
  <Override PartName="/word/media/rId43.png" ContentType="image/png"/>
  <Override PartName="/word/media/rId36.png" ContentType="image/png"/>
  <Override PartName="/word/media/rId56.png" ContentType="image/png"/>
  <Override PartName="/word/media/rId53.png" ContentType="image/png"/>
  <Override PartName="/word/media/rId50.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evaluationof SARS-CoV-2 variant nowcasting in the U.S.</w:t>
      </w:r>
    </w:p>
    <w:p>
      <w:pPr>
        <w:pStyle w:val="Date"/>
      </w:pPr>
      <w:r>
        <w:t xml:space="preserve">2025-11-11</w:t>
      </w:r>
    </w:p>
    <w:bookmarkStart w:id="63" w:name="additional-figures"/>
    <w:p>
      <w:pPr>
        <w:pStyle w:val="Heading1"/>
      </w:pPr>
      <w:r>
        <w:t xml:space="preserve">Additional figures</w:t>
      </w:r>
    </w:p>
    <w:bookmarkStart w:id="35"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1" name="Picture"/>
            <a:graphic>
              <a:graphicData uri="http://schemas.openxmlformats.org/drawingml/2006/picture">
                <pic:pic>
                  <pic:nvPicPr>
                    <pic:cNvPr descr="../output/figs/data_figs/supp/bar_chart_all_seq_counts_final.pn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4" name="Picture"/>
            <a:graphic>
              <a:graphicData uri="http://schemas.openxmlformats.org/drawingml/2006/picture">
                <pic:pic>
                  <pic:nvPicPr>
                    <pic:cNvPr descr="../output/figs/data_figs/supp/final_seq_data_ex1.png" id="25" name="Picture"/>
                    <pic:cNvPicPr>
                      <a:picLocks noChangeArrowheads="1" noChangeAspect="1"/>
                    </pic:cNvPicPr>
                  </pic:nvPicPr>
                  <pic:blipFill>
                    <a:blip r:embed="rId2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7" name="Picture"/>
            <a:graphic>
              <a:graphicData uri="http://schemas.openxmlformats.org/drawingml/2006/picture">
                <pic:pic>
                  <pic:nvPicPr>
                    <pic:cNvPr descr="../output/figs/data_figs/supp/final_seq_data_ex2.png" id="28" name="Picture"/>
                    <pic:cNvPicPr>
                      <a:picLocks noChangeArrowheads="1" noChangeAspect="1"/>
                    </pic:cNvPicPr>
                  </pic:nvPicPr>
                  <pic:blipFill>
                    <a:blip r:embed="rId2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0" name="Picture"/>
            <a:graphic>
              <a:graphicData uri="http://schemas.openxmlformats.org/drawingml/2006/picture">
                <pic:pic>
                  <pic:nvPicPr>
                    <pic:cNvPr descr="../output/figs/data_figs/supp/final_seq_data_ex3.png" id="31" name="Picture"/>
                    <pic:cNvPicPr>
                      <a:picLocks noChangeArrowheads="1" noChangeAspect="1"/>
                    </pic:cNvPicPr>
                  </pic:nvPicPr>
                  <pic:blipFill>
                    <a:blip r:embed="rId2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3" name="Picture"/>
            <a:graphic>
              <a:graphicData uri="http://schemas.openxmlformats.org/drawingml/2006/picture">
                <pic:pic>
                  <pic:nvPicPr>
                    <pic:cNvPr descr="../output/figs/eda/plot_25A_emergence.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5"/>
    <w:bookmarkStart w:id="39"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title="" id="37" name="Picture"/>
            <a:graphic>
              <a:graphicData uri="http://schemas.openxmlformats.org/drawingml/2006/picture">
                <pic:pic>
                  <pic:nvPicPr>
                    <pic:cNvPr descr="../output/figs/nowcasts/supp/fig_model_nowcasts_CADPH.png" id="38" name="Picture"/>
                    <pic:cNvPicPr>
                      <a:picLocks noChangeArrowheads="1" noChangeAspect="1"/>
                    </pic:cNvPicPr>
                  </pic:nvPicPr>
                  <pic:blipFill>
                    <a:blip r:embed="rId3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w:t>
      </w:r>
    </w:p>
    <w:bookmarkEnd w:id="39"/>
    <w:bookmarkStart w:id="4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1" name="Picture"/>
            <a:graphic>
              <a:graphicData uri="http://schemas.openxmlformats.org/drawingml/2006/picture">
                <pic:pic>
                  <pic:nvPicPr>
                    <pic:cNvPr descr="../output/figs/metadata/supp/submission_heatmaps_by_model.png" id="42" name="Picture"/>
                    <pic:cNvPicPr>
                      <a:picLocks noChangeArrowheads="1" noChangeAspect="1"/>
                    </pic:cNvPicPr>
                  </pic:nvPicPr>
                  <pic:blipFill>
                    <a:blip r:embed="rId4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4" name="Picture"/>
            <a:graphic>
              <a:graphicData uri="http://schemas.openxmlformats.org/drawingml/2006/picture">
                <pic:pic>
                  <pic:nvPicPr>
                    <pic:cNvPr descr="../output/figs/metadata/supp/submission_heatmaps_summary.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7" name="Picture"/>
            <a:graphic>
              <a:graphicData uri="http://schemas.openxmlformats.org/drawingml/2006/picture">
                <pic:pic>
                  <pic:nvPicPr>
                    <pic:cNvPr descr="../output/figs/metadata/supp/eval_sequence_counts_heatmap.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bookmarkEnd w:id="49"/>
    <w:bookmarkStart w:id="62" w:name="additional-results"/>
    <w:p>
      <w:pPr>
        <w:pStyle w:val="Heading2"/>
      </w:pPr>
      <w:r>
        <w:t xml:space="preserve">Additional results</w:t>
      </w:r>
    </w:p>
    <w:p>
      <w:pPr>
        <w:pStyle w:val="CaptionedFigure"/>
      </w:pPr>
      <w:r>
        <w:drawing>
          <wp:inline>
            <wp:extent cx="5334000" cy="1758817"/>
            <wp:effectExtent b="0" l="0" r="0" t="0"/>
            <wp:docPr descr="Fig. S10 Comparison of the observed clade proportions by sequence collection week across nowcast dates (columns) in the NCBI GenBank data used by the Hub (top row) and the California specific data source for sequencing called terra (bottom row). Colors indicate clade, dashed line indicates the nowcast date. In most weeks, the California specifc dataset terra has observed clade proportions for a more recent week than the NCBI GenBank dataset for California." title="" id="51" name="Picture"/>
            <a:graphic>
              <a:graphicData uri="http://schemas.openxmlformats.org/drawingml/2006/picture">
                <pic:pic>
                  <pic:nvPicPr>
                    <pic:cNvPr descr="../output/figs/supp/CA_source_seq_props.png" id="52" name="Picture"/>
                    <pic:cNvPicPr>
                      <a:picLocks noChangeArrowheads="1" noChangeAspect="1"/>
                    </pic:cNvPicPr>
                  </pic:nvPicPr>
                  <pic:blipFill>
                    <a:blip r:embed="rId50"/>
                    <a:stretch>
                      <a:fillRect/>
                    </a:stretch>
                  </pic:blipFill>
                  <pic:spPr bwMode="auto">
                    <a:xfrm>
                      <a:off x="0" y="0"/>
                      <a:ext cx="5334000" cy="1758817"/>
                    </a:xfrm>
                    <a:prstGeom prst="rect">
                      <a:avLst/>
                    </a:prstGeom>
                    <a:noFill/>
                    <a:ln w="9525">
                      <a:noFill/>
                      <a:headEnd/>
                      <a:tailEnd/>
                    </a:ln>
                  </pic:spPr>
                </pic:pic>
              </a:graphicData>
            </a:graphic>
          </wp:inline>
        </w:drawing>
      </w:r>
    </w:p>
    <w:p>
      <w:pPr>
        <w:pStyle w:val="ImageCaption"/>
      </w:pPr>
      <w:r>
        <w:t xml:space="preserve">Fig. S10 Comparison of the observed clade proportions by sequence collection week across nowcast dates (columns) in the NCBI GenBank data used by the Hub (top row) and the California specific data source for sequencing called terra (bottom row). Colors indicate clade, dashed line indicates the nowcast date. In most weeks, the California specifc dataset terra has observed clade proportions for a more recent week than the NCBI GenBank dataset for California.</w:t>
      </w:r>
    </w:p>
    <w:p>
      <w:pPr>
        <w:pStyle w:val="CaptionedFigure"/>
      </w:pPr>
      <w:r>
        <w:drawing>
          <wp:inline>
            <wp:extent cx="5334000" cy="1861480"/>
            <wp:effectExtent b="0" l="0" r="0" t="0"/>
            <wp:docPr descr="Fig. S11 Ratio of the number of sequences available in the NCBI GenBank dataset for Californi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 title="" id="54" name="Picture"/>
            <a:graphic>
              <a:graphicData uri="http://schemas.openxmlformats.org/drawingml/2006/picture">
                <pic:pic>
                  <pic:nvPicPr>
                    <pic:cNvPr descr="../output/figs/supp/CA_source_seq_level_comparison.png" id="55" name="Picture"/>
                    <pic:cNvPicPr>
                      <a:picLocks noChangeArrowheads="1" noChangeAspect="1"/>
                    </pic:cNvPicPr>
                  </pic:nvPicPr>
                  <pic:blipFill>
                    <a:blip r:embed="rId53"/>
                    <a:stretch>
                      <a:fillRect/>
                    </a:stretch>
                  </pic:blipFill>
                  <pic:spPr bwMode="auto">
                    <a:xfrm>
                      <a:off x="0" y="0"/>
                      <a:ext cx="5334000" cy="1861480"/>
                    </a:xfrm>
                    <a:prstGeom prst="rect">
                      <a:avLst/>
                    </a:prstGeom>
                    <a:noFill/>
                    <a:ln w="9525">
                      <a:noFill/>
                      <a:headEnd/>
                      <a:tailEnd/>
                    </a:ln>
                  </pic:spPr>
                </pic:pic>
              </a:graphicData>
            </a:graphic>
          </wp:inline>
        </w:drawing>
      </w:r>
    </w:p>
    <w:p>
      <w:pPr>
        <w:pStyle w:val="ImageCaption"/>
      </w:pPr>
      <w:r>
        <w:t xml:space="preserve">Fig. S11 Ratio of the number of sequences available in the NCBI GenBank dataset for Californi compared to the California-specific dataset across collection dates for a subset of nowcast dates (colums). Patterns indicate that even further back in time, the GenBank dataset at most makes up between 50% and 90% of the California specific data volume, with a particular drop off closer to the nowcast date.</w:t>
      </w:r>
    </w:p>
    <w:p>
      <w:pPr>
        <w:pStyle w:val="CaptionedFigure"/>
      </w:pPr>
      <w:r>
        <w:drawing>
          <wp:inline>
            <wp:extent cx="5334000" cy="3556000"/>
            <wp:effectExtent b="0" l="0" r="0" t="0"/>
            <wp:docPr descr="Fig. S12 Absolute Brier (top) and energy (bottom) in the U.S. excluding California (left) and California (right)." title="" id="57" name="Picture"/>
            <a:graphic>
              <a:graphicData uri="http://schemas.openxmlformats.org/drawingml/2006/picture">
                <pic:pic>
                  <pic:nvPicPr>
                    <pic:cNvPr descr="../output/figs/overall_scores/supp/absolute_scores_by_horizon.png" id="58" name="Picture"/>
                    <pic:cNvPicPr>
                      <a:picLocks noChangeArrowheads="1" noChangeAspect="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S12 Absolute Brier (top) and energy (bottom) in the U.S. excluding California (left) and California (right).</w:t>
      </w:r>
    </w:p>
    <w:p>
      <w:pPr>
        <w:pStyle w:val="CaptionedFigure"/>
      </w:pPr>
      <w:r>
        <w:drawing>
          <wp:inline>
            <wp:extent cx="5334000" cy="4000499"/>
            <wp:effectExtent b="0" l="0" r="0" t="0"/>
            <wp:docPr descr="Fig. S13 Bias over time for three example states in the US during the 25A emergence." title="" id="60" name="Picture"/>
            <a:graphic>
              <a:graphicData uri="http://schemas.openxmlformats.org/drawingml/2006/picture">
                <pic:pic>
                  <pic:nvPicPr>
                    <pic:cNvPr descr="../output/figs/zoom_25A/supp/bias_over_time_25A.png" id="61" name="Picture"/>
                    <pic:cNvPicPr>
                      <a:picLocks noChangeArrowheads="1" noChangeAspect="1"/>
                    </pic:cNvPicPr>
                  </pic:nvPicPr>
                  <pic:blipFill>
                    <a:blip r:embed="rId59"/>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S13 Bias over time for three example states in the US during the 25A emergence.</w:t>
      </w:r>
    </w:p>
    <w:bookmarkEnd w:id="62"/>
    <w:bookmarkEnd w:id="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9" Target="media/rId5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evaluationof SARS-CoV-2 variant nowcasting in the U.S.</dc:title>
  <dc:creator/>
  <cp:keywords/>
  <dcterms:created xsi:type="dcterms:W3CDTF">2026-01-12T09:44:17Z</dcterms:created>
  <dcterms:modified xsi:type="dcterms:W3CDTF">2026-01-12T09:44:17Z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